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</w:pPr>
      <w:bookmarkStart w:colFirst="0" w:colLast="0" w:name="_heading=h.dsnuj74mo5f1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  <w:drawing>
          <wp:inline distB="0" distT="0" distL="0" distR="0">
            <wp:extent cx="5760720" cy="768540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32"/>
          <w:szCs w:val="32"/>
          <w:rtl w:val="0"/>
        </w:rPr>
        <w:t xml:space="preserve">Standardy ochrony małoletnich w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32"/>
          <w:szCs w:val="32"/>
          <w:rtl w:val="0"/>
        </w:rPr>
        <w:t xml:space="preserve">ośrodek szkolenia kierowców mikołajczyk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Verdana" w:cs="Verdana" w:eastAsia="Verdana" w:hAnsi="Verdana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mallCaps w:val="1"/>
          <w:sz w:val="32"/>
          <w:szCs w:val="32"/>
          <w:rtl w:val="0"/>
        </w:rPr>
        <w:t xml:space="preserve">katarzyna biernat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(wersja skrócona)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7" w:right="-23" w:hanging="72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Komunikacja i działania z małoletnimi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Pracownik ma obowiązek: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wykazywać w stosunku do małoletniego szacunek i cierpliwość;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traktować małoletnich równo niezależnie od ich m. in. płci, orientacji seksualnej, narodowości, pochodzenia, religii,  czy światopoglądu.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26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Pracownik nie może: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obrażać, zawstydzać, lekceważyć i upokarzać małoletniego;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ujawniać osobom nieuprawnionym wrażliwych informacji dotyczących małoletniego;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zachowywać się wobec małoletniego niestosowanie, w tym używać słów i gestów powszechnie uznanych za wulgarne lub obelżywe;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kierować do małoletniego wypowiedzi o podtekście seksualnym;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proponować małoletniemu alkoholu, wyrobów tytoniowych oraz innych nielegalnych substancji oraz używać ich w czasie pracy w obecności małoletniego;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utrwalać wizerunek małoletniego (np. poprzez filmowanie, nagrywanie głosu, fotografowanie) dla potrzeb prywatnych;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przyjmować pieniędzy lub prezentów od małoletniego oraz jego opiekunów prawnych;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zapraszać małoletniego do miejsca swojego zamieszkania lub na spotkania niezwiązane z realizacją obowiązków pracowniczych;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- przyjmować zaproszeń małoletniego do miejsca jego zamieszkania lub na spotkania niezwiązane z realizacją obowiązków pracowniczych.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może pozostawać z małoletnim sam na sam wyłącznie w uzasadnionych sytuacjach (np. w czasie zajęć praktycznych, gdy  nie ma organizacyjnych możliwości przeprowadzenia zajęć w grupie obejmującej co najmniej dwie osoby małoletnie). W takim przypadku pracownik ma obowiązek poinformować o tym pracodawcę lub wyznaczonego przez niego pracownika. Informacja powinna zawierać dane małoletniego oraz datę i godzinę spotkania.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pracownika z małoletnim (w tym przez telefon, czy Internet) powinien co do zasady odbywać się wyłącznie w czasie pracy i być związany z wykonywaniem obowiązków pracowniczych.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Komunikacja z małoletnimi przez kanały internetowe mogą obywać się wyłącznie jawnie i jeżeli w grupie odbiorców uczestniczy co najmniej jeszcze jedna osoba dorosła.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sytuacji gdy pracownik utrzymuje relacje towarzyskie lub rodzinne z małoletnim lub jego opiekunami prawnymi, ma on obowiązek zachowania poufności informacji pozyskanych o innych małoletnich.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Ograniczenia uregulowane w ust. 6 i 7 nie dotyczą sytuacji, w których dobro małoletniego jest zagrożone.  W takim przypadku konieczne jest podjęcie działań zabezpieczających małoletniego.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97" w:right="0" w:hanging="72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fizyczny z małoletnimi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284" w:hanging="36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Pracownik nie może: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dotykać małoletniego w sposób nieprzyzwoity lub niestosowny lub który może zostać za taki uznany (np. łaskotanie);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09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stosować w stosunku do małoletniego przemocy fizycznej (np. szturchać, popychać, bić) lub brać udział w udawanych walkach, bądź brutalnych zabawach fizycznych.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ma obowiązek zachowania szczególnej ostrożności wobec osób małoletnich, które doświadczyły krzywdzenia w jakiejkolwiek formie.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fizyczny z małoletnim może odbywać się jedynie w uzasadnionych okolicznościach (np. konieczności udzielenia pomocy) i wyłącznie za jego zgodą oraz zgodnie z jego potrzebą. Obowiązek uzyskania zgody małoletniego odpada w przypadku konieczności udzielenia mu pomocy, gdy stan małoletniego uniemożliwia swobodne wyrażenie woli.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697" w:right="0" w:hanging="72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Lista osób odpowiedzialnych</w:t>
      </w:r>
    </w:p>
    <w:tbl>
      <w:tblPr>
        <w:tblStyle w:val="Table1"/>
        <w:tblW w:w="90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555"/>
        <w:gridCol w:w="4260"/>
        <w:gridCol w:w="2340"/>
        <w:gridCol w:w="1905"/>
        <w:tblGridChange w:id="0">
          <w:tblGrid>
            <w:gridCol w:w="555"/>
            <w:gridCol w:w="4260"/>
            <w:gridCol w:w="2340"/>
            <w:gridCol w:w="19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​​​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L.p.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360" w:lineRule="auto"/>
              <w:ind w:right="990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Obowiązki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0" w:line="360" w:lineRule="auto"/>
              <w:ind w:right="28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Imię i nazwisko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Dane kontaktowe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360" w:lineRule="auto"/>
              <w:ind w:right="99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Przygotowanie pracowników do stosowania standardów ochrony małoletnich i monitorowanie przestrzegania standardów ochrony małoletnich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Katarzyna Biernat</w:t>
            </w:r>
          </w:p>
          <w:p w:rsidR="00000000" w:rsidDel="00000000" w:rsidP="00000000" w:rsidRDefault="00000000" w:rsidRPr="00000000" w14:paraId="0000002D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Roman Mikołajczyk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728712436</w:t>
            </w:r>
          </w:p>
          <w:p w:rsidR="00000000" w:rsidDel="00000000" w:rsidP="00000000" w:rsidRDefault="00000000" w:rsidRPr="00000000" w14:paraId="00000030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604096919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Przyjmowanie zgłoszeń 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Katarzyna Biernat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Roman Mikołajczyk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728712436</w:t>
            </w:r>
          </w:p>
          <w:p w:rsidR="00000000" w:rsidDel="00000000" w:rsidP="00000000" w:rsidRDefault="00000000" w:rsidRPr="00000000" w14:paraId="00000039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604096919 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Prowadzenie interwencji 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Katarzyna Biernat</w:t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Roman Mikołajczyk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728712436</w:t>
            </w:r>
          </w:p>
          <w:p w:rsidR="00000000" w:rsidDel="00000000" w:rsidP="00000000" w:rsidRDefault="00000000" w:rsidRPr="00000000" w14:paraId="00000042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604096919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360" w:lineRule="auto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Zapewnienie bezpiecznego korzystania z Internetu 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Katarzyna Biernat</w:t>
            </w:r>
          </w:p>
          <w:p w:rsidR="00000000" w:rsidDel="00000000" w:rsidP="00000000" w:rsidRDefault="00000000" w:rsidRPr="00000000" w14:paraId="00000048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Roman Mikołajczyk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728712436</w:t>
            </w:r>
          </w:p>
          <w:p w:rsidR="00000000" w:rsidDel="00000000" w:rsidP="00000000" w:rsidRDefault="00000000" w:rsidRPr="00000000" w14:paraId="0000004B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604096919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center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360" w:lineRule="auto"/>
              <w:ind w:right="99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Udzielanie wsparcia małoletniemu 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Katarzyna Biernat</w:t>
            </w:r>
          </w:p>
          <w:p w:rsidR="00000000" w:rsidDel="00000000" w:rsidP="00000000" w:rsidRDefault="00000000" w:rsidRPr="00000000" w14:paraId="00000051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Roman Mikołajczyk</w:t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728712436</w:t>
            </w:r>
          </w:p>
          <w:p w:rsidR="00000000" w:rsidDel="00000000" w:rsidP="00000000" w:rsidRDefault="00000000" w:rsidRPr="00000000" w14:paraId="00000054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360" w:lineRule="auto"/>
              <w:ind w:right="990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604096919 </w:t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697" w:hanging="720"/>
      </w:pPr>
      <w:rPr/>
    </w:lvl>
    <w:lvl w:ilvl="1">
      <w:start w:val="1"/>
      <w:numFmt w:val="lowerLetter"/>
      <w:lvlText w:val="%2."/>
      <w:lvlJc w:val="left"/>
      <w:pPr>
        <w:ind w:left="1057" w:hanging="360"/>
      </w:pPr>
      <w:rPr/>
    </w:lvl>
    <w:lvl w:ilvl="2">
      <w:start w:val="1"/>
      <w:numFmt w:val="lowerRoman"/>
      <w:lvlText w:val="%3."/>
      <w:lvlJc w:val="right"/>
      <w:pPr>
        <w:ind w:left="1777" w:hanging="180"/>
      </w:pPr>
      <w:rPr/>
    </w:lvl>
    <w:lvl w:ilvl="3">
      <w:start w:val="1"/>
      <w:numFmt w:val="decimal"/>
      <w:lvlText w:val="%4."/>
      <w:lvlJc w:val="left"/>
      <w:pPr>
        <w:ind w:left="2497" w:hanging="360"/>
      </w:pPr>
      <w:rPr/>
    </w:lvl>
    <w:lvl w:ilvl="4">
      <w:start w:val="1"/>
      <w:numFmt w:val="lowerLetter"/>
      <w:lvlText w:val="%5."/>
      <w:lvlJc w:val="left"/>
      <w:pPr>
        <w:ind w:left="3217" w:hanging="360"/>
      </w:pPr>
      <w:rPr/>
    </w:lvl>
    <w:lvl w:ilvl="5">
      <w:start w:val="1"/>
      <w:numFmt w:val="lowerRoman"/>
      <w:lvlText w:val="%6."/>
      <w:lvlJc w:val="right"/>
      <w:pPr>
        <w:ind w:left="3937" w:hanging="180"/>
      </w:pPr>
      <w:rPr/>
    </w:lvl>
    <w:lvl w:ilvl="6">
      <w:start w:val="1"/>
      <w:numFmt w:val="decimal"/>
      <w:lvlText w:val="%7."/>
      <w:lvlJc w:val="left"/>
      <w:pPr>
        <w:ind w:left="4657" w:hanging="360"/>
      </w:pPr>
      <w:rPr/>
    </w:lvl>
    <w:lvl w:ilvl="7">
      <w:start w:val="1"/>
      <w:numFmt w:val="lowerLetter"/>
      <w:lvlText w:val="%8."/>
      <w:lvlJc w:val="left"/>
      <w:pPr>
        <w:ind w:left="5377" w:hanging="360"/>
      </w:pPr>
      <w:rPr/>
    </w:lvl>
    <w:lvl w:ilvl="8">
      <w:start w:val="1"/>
      <w:numFmt w:val="lowerRoman"/>
      <w:lvlText w:val="%9."/>
      <w:lvlJc w:val="right"/>
      <w:pPr>
        <w:ind w:left="609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Srj7u/6VUwmsAMeecMxhyKZ5A==">CgMxLjAyDmguZHNudWo3NG1vNWYxOAByITF1Z1Q3Zjl2Z1dlY1lfcWdQbVVTR0xPYzE2WXFYNzgxVA==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